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781"/>
        <w:gridCol w:w="2160"/>
        <w:gridCol w:w="902"/>
        <w:gridCol w:w="1192"/>
        <w:gridCol w:w="1082"/>
        <w:gridCol w:w="1076"/>
        <w:gridCol w:w="1116"/>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4355" w:type="dxa"/>
            <w:gridSpan w:val="4"/>
            <w:tcBorders>
              <w:tl2br w:val="nil"/>
              <w:tr2bl w:val="nil"/>
            </w:tcBorders>
            <w:vAlign w:val="center"/>
          </w:tcPr>
          <w:p w14:paraId="35B20E94">
            <w:pPr>
              <w:spacing w:line="240" w:lineRule="exact"/>
              <w:ind w:left="422" w:hanging="422" w:hangingChars="200"/>
              <w:jc w:val="left"/>
              <w:rPr>
                <w:rFonts w:ascii="宋体" w:hAnsi="宋体" w:eastAsia="宋体" w:cs="宋体"/>
                <w:b/>
                <w:bCs/>
                <w:color w:val="000000"/>
                <w:sz w:val="21"/>
                <w:szCs w:val="15"/>
              </w:rPr>
            </w:pPr>
            <w:r>
              <w:rPr>
                <w:rFonts w:hint="eastAsia" w:ascii="宋体" w:hAnsi="宋体" w:eastAsia="宋体" w:cs="宋体"/>
                <w:b/>
                <w:bCs/>
                <w:color w:val="000000"/>
                <w:sz w:val="21"/>
                <w:szCs w:val="15"/>
              </w:rPr>
              <w:t xml:space="preserve">深圳110米高“垃圾山”连根拔起！   </w:t>
            </w:r>
          </w:p>
          <w:p w14:paraId="5609971C">
            <w:pPr>
              <w:spacing w:line="240" w:lineRule="exact"/>
              <w:ind w:left="419" w:leftChars="65" w:hanging="211" w:hangingChars="100"/>
              <w:jc w:val="left"/>
              <w:rPr>
                <w:rFonts w:ascii="仿宋" w:hAnsi="仿宋" w:eastAsia="仿宋" w:cs="仿宋"/>
                <w:color w:val="000000"/>
                <w:sz w:val="21"/>
                <w:szCs w:val="15"/>
              </w:rPr>
            </w:pPr>
            <w:r>
              <w:rPr>
                <w:rFonts w:hint="eastAsia" w:ascii="宋体" w:hAnsi="宋体" w:eastAsia="宋体" w:cs="宋体"/>
                <w:b/>
                <w:bCs/>
                <w:color w:val="000000"/>
                <w:sz w:val="21"/>
                <w:szCs w:val="15"/>
              </w:rPr>
              <w:t>你以为的“负资产”被盘活了！</w:t>
            </w:r>
          </w:p>
        </w:tc>
        <w:tc>
          <w:tcPr>
            <w:tcW w:w="1192" w:type="dxa"/>
            <w:tcBorders>
              <w:tl2br w:val="nil"/>
              <w:tr2bl w:val="nil"/>
            </w:tcBorders>
            <w:vAlign w:val="center"/>
          </w:tcPr>
          <w:p w14:paraId="4D0A6EB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rPr>
                <w:rFonts w:ascii="仿宋" w:hAnsi="仿宋" w:eastAsia="仿宋" w:cs="仿宋"/>
                <w:color w:val="000000"/>
                <w:sz w:val="21"/>
                <w:szCs w:val="15"/>
              </w:rPr>
            </w:pPr>
            <w:r>
              <w:rPr>
                <w:rFonts w:hint="eastAsia" w:ascii="宋体" w:hAnsi="宋体" w:eastAsia="宋体" w:cs="宋体"/>
                <w:b/>
                <w:bCs/>
                <w:color w:val="000000"/>
                <w:sz w:val="21"/>
                <w:szCs w:val="15"/>
              </w:rPr>
              <w:t>专题</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4355" w:type="dxa"/>
            <w:gridSpan w:val="4"/>
            <w:vMerge w:val="restart"/>
            <w:tcBorders>
              <w:tl2br w:val="nil"/>
              <w:tr2bl w:val="nil"/>
            </w:tcBorders>
            <w:vAlign w:val="center"/>
          </w:tcPr>
          <w:p w14:paraId="4877CC2E">
            <w:pPr>
              <w:spacing w:line="240" w:lineRule="exact"/>
              <w:ind w:left="422" w:hanging="422" w:hangingChars="200"/>
              <w:jc w:val="left"/>
              <w:rPr>
                <w:rFonts w:ascii="宋体" w:hAnsi="宋体" w:eastAsia="宋体" w:cs="宋体"/>
                <w:b/>
                <w:bCs/>
                <w:color w:val="000000"/>
                <w:sz w:val="21"/>
                <w:szCs w:val="15"/>
              </w:rPr>
            </w:pPr>
            <w:r>
              <w:rPr>
                <w:rFonts w:hint="eastAsia" w:ascii="宋体" w:hAnsi="宋体" w:eastAsia="宋体" w:cs="宋体"/>
                <w:b/>
                <w:bCs/>
                <w:color w:val="000000"/>
                <w:sz w:val="21"/>
                <w:szCs w:val="15"/>
              </w:rPr>
              <w:t>2分55秒</w:t>
            </w:r>
            <w:r>
              <w:rPr>
                <w:rFonts w:hint="eastAsia" w:ascii="宋体" w:hAnsi="宋体" w:eastAsia="宋体" w:cs="宋体"/>
                <w:b/>
                <w:bCs/>
                <w:color w:val="000000"/>
                <w:sz w:val="21"/>
                <w:szCs w:val="15"/>
                <w:lang w:eastAsia="zh-CN"/>
              </w:rPr>
              <w:t>；</w:t>
            </w:r>
            <w:r>
              <w:rPr>
                <w:rFonts w:hint="eastAsia" w:ascii="宋体" w:hAnsi="宋体" w:eastAsia="宋体" w:cs="宋体"/>
                <w:b/>
                <w:bCs/>
                <w:color w:val="000000"/>
                <w:sz w:val="21"/>
                <w:szCs w:val="15"/>
              </w:rPr>
              <w:t>39</w:t>
            </w:r>
            <w:r>
              <w:rPr>
                <w:rFonts w:hint="eastAsia" w:ascii="宋体" w:hAnsi="宋体" w:eastAsia="宋体" w:cs="宋体"/>
                <w:b/>
                <w:bCs/>
                <w:color w:val="000000"/>
                <w:sz w:val="21"/>
                <w:szCs w:val="15"/>
                <w:lang w:val="en-US" w:eastAsia="zh-CN"/>
              </w:rPr>
              <w:t>69</w:t>
            </w:r>
            <w:r>
              <w:rPr>
                <w:rFonts w:hint="eastAsia" w:ascii="宋体" w:hAnsi="宋体" w:eastAsia="宋体" w:cs="宋体"/>
                <w:b/>
                <w:bCs/>
                <w:color w:val="000000"/>
                <w:sz w:val="21"/>
                <w:szCs w:val="15"/>
              </w:rPr>
              <w:t>字；1782字</w:t>
            </w:r>
          </w:p>
        </w:tc>
        <w:tc>
          <w:tcPr>
            <w:tcW w:w="1192" w:type="dxa"/>
            <w:tcBorders>
              <w:tl2br w:val="nil"/>
              <w:tr2bl w:val="nil"/>
            </w:tcBorders>
            <w:vAlign w:val="center"/>
          </w:tcPr>
          <w:p w14:paraId="3B74E81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rPr>
                <w:rFonts w:hint="eastAsia" w:ascii="仿宋" w:hAnsi="仿宋" w:eastAsia="仿宋" w:cs="仿宋"/>
                <w:color w:val="000000"/>
                <w:sz w:val="21"/>
                <w:szCs w:val="15"/>
                <w:lang w:val="en-US" w:eastAsia="zh-CN"/>
              </w:rPr>
            </w:pPr>
            <w:r>
              <w:rPr>
                <w:rFonts w:hint="eastAsia" w:ascii="宋体" w:hAnsi="宋体" w:eastAsia="宋体" w:cs="宋体"/>
                <w:b/>
                <w:bCs/>
                <w:color w:val="000000"/>
                <w:sz w:val="21"/>
                <w:szCs w:val="15"/>
                <w:lang w:val="en-US" w:eastAsia="zh-CN"/>
              </w:rPr>
              <w:t>专题</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ascii="华文中宋" w:hAnsi="华文中宋" w:eastAsia="华文中宋"/>
                <w:color w:val="000000"/>
                <w:sz w:val="28"/>
              </w:rPr>
            </w:pPr>
          </w:p>
        </w:tc>
        <w:tc>
          <w:tcPr>
            <w:tcW w:w="4355" w:type="dxa"/>
            <w:gridSpan w:val="4"/>
            <w:vMerge w:val="continue"/>
            <w:tcBorders>
              <w:tl2br w:val="nil"/>
              <w:tr2bl w:val="nil"/>
            </w:tcBorders>
            <w:vAlign w:val="center"/>
          </w:tcPr>
          <w:p w14:paraId="0A8AF4DF">
            <w:pPr>
              <w:spacing w:line="380" w:lineRule="exact"/>
              <w:ind w:firstLine="560"/>
              <w:jc w:val="center"/>
              <w:rPr>
                <w:rFonts w:ascii="华文中宋" w:hAnsi="华文中宋" w:eastAsia="华文中宋"/>
                <w:color w:val="000000"/>
                <w:sz w:val="21"/>
                <w:szCs w:val="21"/>
              </w:rPr>
            </w:pPr>
          </w:p>
        </w:tc>
        <w:tc>
          <w:tcPr>
            <w:tcW w:w="1192" w:type="dxa"/>
            <w:tcBorders>
              <w:tl2br w:val="nil"/>
              <w:tr2bl w:val="nil"/>
            </w:tcBorders>
            <w:vAlign w:val="center"/>
          </w:tcPr>
          <w:p w14:paraId="0FE0B5D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rPr>
                <w:rFonts w:ascii="仿宋" w:hAnsi="仿宋" w:eastAsia="仿宋" w:cs="仿宋"/>
                <w:color w:val="000000"/>
                <w:sz w:val="21"/>
                <w:szCs w:val="15"/>
              </w:rPr>
            </w:pP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4355" w:type="dxa"/>
            <w:gridSpan w:val="4"/>
            <w:tcBorders>
              <w:tl2br w:val="nil"/>
              <w:tr2bl w:val="nil"/>
            </w:tcBorders>
            <w:vAlign w:val="center"/>
          </w:tcPr>
          <w:p w14:paraId="07431297">
            <w:pPr>
              <w:pStyle w:val="8"/>
              <w:widowControl/>
              <w:jc w:val="both"/>
              <w:rPr>
                <w:rFonts w:hint="eastAsia" w:ascii="宋体" w:hAnsi="宋体" w:eastAsia="宋体" w:cs="宋体"/>
                <w:b/>
                <w:bCs/>
                <w:color w:val="000000"/>
                <w:sz w:val="21"/>
                <w:szCs w:val="15"/>
              </w:rPr>
            </w:pPr>
            <w:r>
              <w:rPr>
                <w:rFonts w:hint="eastAsia" w:ascii="宋体" w:hAnsi="宋体" w:eastAsia="宋体" w:cs="宋体"/>
                <w:sz w:val="21"/>
                <w:szCs w:val="15"/>
                <w:lang w:val="en-US" w:eastAsia="zh-CN"/>
              </w:rPr>
              <w:t>杨勇、吴洁、李晓睿、魏羽辰、雷海燕、易芬、严文婷、宁杰文</w:t>
            </w:r>
          </w:p>
        </w:tc>
        <w:tc>
          <w:tcPr>
            <w:tcW w:w="1192" w:type="dxa"/>
            <w:tcBorders>
              <w:tl2br w:val="nil"/>
              <w:tr2bl w:val="nil"/>
            </w:tcBorders>
            <w:vAlign w:val="center"/>
          </w:tcPr>
          <w:p w14:paraId="4B47EE1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324E81BC">
            <w:pPr>
              <w:pStyle w:val="8"/>
              <w:widowControl/>
              <w:jc w:val="both"/>
              <w:rPr>
                <w:rFonts w:ascii="仿宋" w:hAnsi="仿宋" w:eastAsia="仿宋" w:cs="仿宋"/>
                <w:color w:val="000000"/>
                <w:sz w:val="21"/>
                <w:szCs w:val="15"/>
              </w:rPr>
            </w:pPr>
            <w:r>
              <w:rPr>
                <w:rFonts w:ascii="宋体" w:hAnsi="宋体" w:eastAsia="宋体" w:cs="宋体"/>
                <w:sz w:val="21"/>
                <w:szCs w:val="15"/>
              </w:rPr>
              <w:t>集体</w:t>
            </w:r>
            <w:r>
              <w:rPr>
                <w:rFonts w:hint="eastAsia" w:ascii="宋体" w:hAnsi="宋体" w:eastAsia="宋体" w:cs="宋体"/>
                <w:i w:val="0"/>
                <w:iCs w:val="0"/>
                <w:color w:val="000000"/>
                <w:kern w:val="0"/>
                <w:sz w:val="24"/>
                <w:szCs w:val="24"/>
                <w:u w:val="none"/>
                <w:lang w:val="en-US" w:eastAsia="zh-CN" w:bidi="ar"/>
                <w14:ligatures w14:val="none"/>
              </w:rPr>
              <w:t>（刘大岭、成功、李福莹、李晶川、潘韵琪、林锐娜）</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4355" w:type="dxa"/>
            <w:gridSpan w:val="4"/>
            <w:tcBorders>
              <w:tl2br w:val="nil"/>
              <w:tr2bl w:val="nil"/>
            </w:tcBorders>
            <w:vAlign w:val="center"/>
          </w:tcPr>
          <w:p w14:paraId="4A51632B">
            <w:pPr>
              <w:spacing w:line="240" w:lineRule="exact"/>
              <w:jc w:val="left"/>
              <w:rPr>
                <w:rFonts w:asciiTheme="minorEastAsia" w:hAnsiTheme="minorEastAsia" w:eastAsiaTheme="minorEastAsia"/>
                <w:color w:val="000000"/>
                <w:szCs w:val="21"/>
              </w:rPr>
            </w:pPr>
            <w:r>
              <w:rPr>
                <w:rFonts w:hint="eastAsia" w:cs="仿宋" w:asciiTheme="minorEastAsia" w:hAnsiTheme="minorEastAsia" w:eastAsiaTheme="minorEastAsia"/>
                <w:b/>
                <w:bCs/>
                <w:color w:val="000000"/>
                <w:sz w:val="21"/>
                <w:szCs w:val="15"/>
              </w:rPr>
              <w:t>深圳晚报社</w:t>
            </w:r>
            <w:bookmarkStart w:id="0" w:name="_GoBack"/>
            <w:bookmarkEnd w:id="0"/>
          </w:p>
        </w:tc>
        <w:tc>
          <w:tcPr>
            <w:tcW w:w="1192" w:type="dxa"/>
            <w:tcBorders>
              <w:tl2br w:val="nil"/>
              <w:tr2bl w:val="nil"/>
            </w:tcBorders>
            <w:vAlign w:val="center"/>
          </w:tcPr>
          <w:p w14:paraId="1916C51B">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3068DABC">
            <w:pPr>
              <w:spacing w:line="240" w:lineRule="exact"/>
              <w:rPr>
                <w:rFonts w:ascii="仿宋" w:hAnsi="仿宋" w:eastAsia="仿宋" w:cs="仿宋"/>
                <w:color w:val="000000"/>
                <w:sz w:val="21"/>
                <w:szCs w:val="15"/>
              </w:rPr>
            </w:pPr>
            <w:r>
              <w:rPr>
                <w:rFonts w:hint="eastAsia" w:ascii="宋体" w:hAnsi="宋体" w:eastAsia="宋体" w:cs="宋体"/>
                <w:b/>
                <w:bCs/>
                <w:color w:val="000000"/>
                <w:sz w:val="21"/>
                <w:szCs w:val="15"/>
              </w:rPr>
              <w:t>读特客户端</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1" w:hRule="exact"/>
        </w:trPr>
        <w:tc>
          <w:tcPr>
            <w:tcW w:w="1504" w:type="dxa"/>
            <w:gridSpan w:val="2"/>
            <w:tcBorders>
              <w:tl2br w:val="nil"/>
              <w:tr2bl w:val="nil"/>
            </w:tcBorders>
            <w:vAlign w:val="center"/>
          </w:tcPr>
          <w:p w14:paraId="04B8C04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843" w:type="dxa"/>
            <w:gridSpan w:val="3"/>
            <w:tcBorders>
              <w:tl2br w:val="nil"/>
              <w:tr2bl w:val="nil"/>
            </w:tcBorders>
            <w:vAlign w:val="center"/>
          </w:tcPr>
          <w:p w14:paraId="5E85EBA6">
            <w:pPr>
              <w:spacing w:line="240" w:lineRule="exact"/>
              <w:ind w:left="420" w:hanging="420" w:hangingChars="200"/>
              <w:jc w:val="left"/>
              <w:rPr>
                <w:rFonts w:ascii="仿宋" w:hAnsi="仿宋" w:eastAsia="仿宋" w:cs="仿宋"/>
                <w:color w:val="000000"/>
                <w:sz w:val="21"/>
                <w:szCs w:val="15"/>
              </w:rPr>
            </w:pPr>
          </w:p>
        </w:tc>
        <w:tc>
          <w:tcPr>
            <w:tcW w:w="1192" w:type="dxa"/>
            <w:tcBorders>
              <w:tl2br w:val="nil"/>
              <w:tr2bl w:val="nil"/>
            </w:tcBorders>
            <w:vAlign w:val="center"/>
          </w:tcPr>
          <w:p w14:paraId="1A6D9E8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3274" w:type="dxa"/>
            <w:gridSpan w:val="3"/>
            <w:tcBorders>
              <w:tl2br w:val="nil"/>
              <w:tr2bl w:val="nil"/>
            </w:tcBorders>
            <w:vAlign w:val="center"/>
          </w:tcPr>
          <w:p w14:paraId="0101A62C">
            <w:pPr>
              <w:spacing w:line="260" w:lineRule="exact"/>
              <w:rPr>
                <w:rFonts w:ascii="仿宋" w:hAnsi="仿宋" w:eastAsia="仿宋" w:cs="仿宋"/>
                <w:color w:val="000000"/>
                <w:sz w:val="21"/>
                <w:szCs w:val="15"/>
              </w:rPr>
            </w:pPr>
            <w:r>
              <w:rPr>
                <w:rFonts w:hint="eastAsia" w:ascii="宋体" w:hAnsi="宋体" w:eastAsia="宋体" w:cs="宋体"/>
                <w:b/>
                <w:bCs/>
                <w:color w:val="000000"/>
                <w:spacing w:val="-6"/>
                <w:sz w:val="21"/>
                <w:szCs w:val="15"/>
              </w:rPr>
              <w:t>2025年11月29日至12月24日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9" w:hRule="atLeast"/>
        </w:trPr>
        <w:tc>
          <w:tcPr>
            <w:tcW w:w="1504" w:type="dxa"/>
            <w:gridSpan w:val="2"/>
            <w:tcBorders>
              <w:tl2br w:val="nil"/>
              <w:tr2bl w:val="nil"/>
            </w:tcBorders>
            <w:vAlign w:val="center"/>
          </w:tcPr>
          <w:p w14:paraId="2FC99FA4">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4"/>
            <w:tcBorders>
              <w:tl2br w:val="nil"/>
              <w:tr2bl w:val="nil"/>
            </w:tcBorders>
            <w:vAlign w:val="center"/>
          </w:tcPr>
          <w:p w14:paraId="44B08ABA">
            <w:pPr>
              <w:spacing w:line="240" w:lineRule="exact"/>
              <w:jc w:val="lef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t>代表作一：</w:t>
            </w:r>
          </w:p>
          <w:p w14:paraId="39DCD057">
            <w:pPr>
              <w:spacing w:line="240" w:lineRule="exact"/>
              <w:jc w:val="lef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fldChar w:fldCharType="begin"/>
            </w:r>
            <w:r>
              <w:rPr>
                <w:rFonts w:hint="eastAsia" w:cs="仿宋" w:asciiTheme="minorEastAsia" w:hAnsiTheme="minorEastAsia" w:eastAsiaTheme="minorEastAsia"/>
                <w:b/>
                <w:bCs/>
                <w:color w:val="000000"/>
                <w:sz w:val="21"/>
                <w:szCs w:val="15"/>
                <w:lang w:val="en-US" w:eastAsia="zh-CN"/>
              </w:rPr>
              <w:instrText xml:space="preserve"> HYPERLINK "https://weixin.qq.com/sph/Aj63scJvC" </w:instrText>
            </w:r>
            <w:r>
              <w:rPr>
                <w:rFonts w:hint="eastAsia" w:cs="仿宋" w:asciiTheme="minorEastAsia" w:hAnsiTheme="minorEastAsia" w:eastAsiaTheme="minorEastAsia"/>
                <w:b/>
                <w:bCs/>
                <w:color w:val="000000"/>
                <w:sz w:val="21"/>
                <w:szCs w:val="15"/>
                <w:lang w:val="en-US" w:eastAsia="zh-CN"/>
              </w:rPr>
              <w:fldChar w:fldCharType="separate"/>
            </w:r>
            <w:r>
              <w:rPr>
                <w:rStyle w:val="7"/>
                <w:rFonts w:hint="eastAsia" w:cs="仿宋" w:asciiTheme="minorEastAsia" w:hAnsiTheme="minorEastAsia" w:eastAsiaTheme="minorEastAsia"/>
                <w:b/>
                <w:bCs/>
                <w:sz w:val="21"/>
                <w:szCs w:val="15"/>
                <w:lang w:val="en-US" w:eastAsia="zh-CN"/>
              </w:rPr>
              <w:t>https://weixin.qq.com/sph/Aj63scJvC</w:t>
            </w:r>
            <w:r>
              <w:rPr>
                <w:rFonts w:hint="eastAsia" w:cs="仿宋" w:asciiTheme="minorEastAsia" w:hAnsiTheme="minorEastAsia" w:eastAsiaTheme="minorEastAsia"/>
                <w:b/>
                <w:bCs/>
                <w:color w:val="000000"/>
                <w:sz w:val="21"/>
                <w:szCs w:val="15"/>
                <w:lang w:val="en-US" w:eastAsia="zh-CN"/>
              </w:rPr>
              <w:fldChar w:fldCharType="end"/>
            </w:r>
          </w:p>
          <w:p w14:paraId="33EA6C9B">
            <w:pPr>
              <w:spacing w:line="240" w:lineRule="exact"/>
              <w:jc w:val="lef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t>代表作二：</w:t>
            </w:r>
          </w:p>
          <w:p w14:paraId="2269C876">
            <w:pPr>
              <w:spacing w:line="240" w:lineRule="exact"/>
              <w:jc w:val="lef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fldChar w:fldCharType="begin"/>
            </w:r>
            <w:r>
              <w:rPr>
                <w:rFonts w:hint="eastAsia" w:cs="仿宋" w:asciiTheme="minorEastAsia" w:hAnsiTheme="minorEastAsia" w:eastAsiaTheme="minorEastAsia"/>
                <w:b/>
                <w:bCs/>
                <w:color w:val="000000"/>
                <w:sz w:val="21"/>
                <w:szCs w:val="15"/>
                <w:lang w:val="en-US" w:eastAsia="zh-CN"/>
              </w:rPr>
              <w:instrText xml:space="preserve"> HYPERLINK "https://www.dutenews.com/n/article/10274648?from=app&amp;client=1" </w:instrText>
            </w:r>
            <w:r>
              <w:rPr>
                <w:rFonts w:hint="eastAsia" w:cs="仿宋" w:asciiTheme="minorEastAsia" w:hAnsiTheme="minorEastAsia" w:eastAsiaTheme="minorEastAsia"/>
                <w:b/>
                <w:bCs/>
                <w:color w:val="000000"/>
                <w:sz w:val="21"/>
                <w:szCs w:val="15"/>
                <w:lang w:val="en-US" w:eastAsia="zh-CN"/>
              </w:rPr>
              <w:fldChar w:fldCharType="separate"/>
            </w:r>
            <w:r>
              <w:rPr>
                <w:rStyle w:val="7"/>
                <w:rFonts w:hint="eastAsia" w:cs="仿宋" w:asciiTheme="minorEastAsia" w:hAnsiTheme="minorEastAsia" w:eastAsiaTheme="minorEastAsia"/>
                <w:b/>
                <w:bCs/>
                <w:sz w:val="21"/>
                <w:szCs w:val="15"/>
                <w:lang w:val="en-US" w:eastAsia="zh-CN"/>
              </w:rPr>
              <w:t>https://www.dutenews.com/n/article/10274648?from=app&amp;client=1</w:t>
            </w:r>
            <w:r>
              <w:rPr>
                <w:rFonts w:hint="eastAsia" w:cs="仿宋" w:asciiTheme="minorEastAsia" w:hAnsiTheme="minorEastAsia" w:eastAsiaTheme="minorEastAsia"/>
                <w:b/>
                <w:bCs/>
                <w:color w:val="000000"/>
                <w:sz w:val="21"/>
                <w:szCs w:val="15"/>
                <w:lang w:val="en-US" w:eastAsia="zh-CN"/>
              </w:rPr>
              <w:fldChar w:fldCharType="end"/>
            </w:r>
          </w:p>
          <w:p w14:paraId="18BD01AD">
            <w:pPr>
              <w:spacing w:line="240" w:lineRule="exact"/>
              <w:jc w:val="left"/>
              <w:rPr>
                <w:rFonts w:ascii="仿宋" w:hAnsi="仿宋" w:eastAsia="仿宋" w:cs="仿宋"/>
                <w:color w:val="000000"/>
                <w:sz w:val="21"/>
                <w:szCs w:val="15"/>
              </w:rPr>
            </w:pPr>
            <w:r>
              <w:rPr>
                <w:rFonts w:hint="eastAsia" w:cs="仿宋" w:asciiTheme="minorEastAsia" w:hAnsiTheme="minorEastAsia" w:eastAsiaTheme="minorEastAsia"/>
                <w:b/>
                <w:bCs/>
                <w:color w:val="000000"/>
                <w:sz w:val="21"/>
                <w:szCs w:val="15"/>
                <w:lang w:val="en-US" w:eastAsia="zh-CN"/>
              </w:rPr>
              <w:t>代表作三：</w:t>
            </w:r>
            <w:r>
              <w:rPr>
                <w:rFonts w:hint="eastAsia" w:cs="仿宋" w:asciiTheme="minorEastAsia" w:hAnsiTheme="minorEastAsia" w:eastAsiaTheme="minorEastAsia"/>
                <w:b/>
                <w:bCs/>
                <w:color w:val="000000"/>
                <w:sz w:val="21"/>
                <w:szCs w:val="15"/>
                <w:lang w:val="en-US" w:eastAsia="zh-CN"/>
              </w:rPr>
              <w:fldChar w:fldCharType="begin"/>
            </w:r>
            <w:r>
              <w:rPr>
                <w:rFonts w:hint="eastAsia" w:cs="仿宋" w:asciiTheme="minorEastAsia" w:hAnsiTheme="minorEastAsia" w:eastAsiaTheme="minorEastAsia"/>
                <w:b/>
                <w:bCs/>
                <w:color w:val="000000"/>
                <w:sz w:val="21"/>
                <w:szCs w:val="15"/>
                <w:lang w:val="en-US" w:eastAsia="zh-CN"/>
              </w:rPr>
              <w:instrText xml:space="preserve"> HYPERLINK "https://www.dutenews.com/n/article/10290345?from=app&amp;client=1" </w:instrText>
            </w:r>
            <w:r>
              <w:rPr>
                <w:rFonts w:hint="eastAsia" w:cs="仿宋" w:asciiTheme="minorEastAsia" w:hAnsiTheme="minorEastAsia" w:eastAsiaTheme="minorEastAsia"/>
                <w:b/>
                <w:bCs/>
                <w:color w:val="000000"/>
                <w:sz w:val="21"/>
                <w:szCs w:val="15"/>
                <w:lang w:val="en-US" w:eastAsia="zh-CN"/>
              </w:rPr>
              <w:fldChar w:fldCharType="separate"/>
            </w:r>
            <w:r>
              <w:rPr>
                <w:rStyle w:val="7"/>
                <w:rFonts w:hint="eastAsia" w:cs="仿宋" w:asciiTheme="minorEastAsia" w:hAnsiTheme="minorEastAsia" w:eastAsiaTheme="minorEastAsia"/>
                <w:b/>
                <w:bCs/>
                <w:sz w:val="21"/>
                <w:szCs w:val="15"/>
                <w:lang w:val="en-US" w:eastAsia="zh-CN"/>
              </w:rPr>
              <w:t>https://www.dutenews.com/n/article/10290345?from=app&amp;client=1</w:t>
            </w:r>
            <w:r>
              <w:rPr>
                <w:rFonts w:hint="eastAsia" w:cs="仿宋" w:asciiTheme="minorEastAsia" w:hAnsiTheme="minorEastAsia" w:eastAsiaTheme="minorEastAsia"/>
                <w:b/>
                <w:bCs/>
                <w:color w:val="000000"/>
                <w:sz w:val="21"/>
                <w:szCs w:val="15"/>
                <w:lang w:val="en-US" w:eastAsia="zh-CN"/>
              </w:rPr>
              <w:fldChar w:fldCharType="end"/>
            </w:r>
          </w:p>
        </w:tc>
        <w:tc>
          <w:tcPr>
            <w:tcW w:w="2158" w:type="dxa"/>
            <w:gridSpan w:val="2"/>
            <w:tcBorders>
              <w:tl2br w:val="nil"/>
              <w:tr2bl w:val="nil"/>
            </w:tcBorders>
            <w:vAlign w:val="center"/>
          </w:tcPr>
          <w:p w14:paraId="79A0CB2B">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116" w:type="dxa"/>
            <w:tcBorders>
              <w:tl2br w:val="nil"/>
              <w:tr2bl w:val="nil"/>
            </w:tcBorders>
            <w:vAlign w:val="center"/>
          </w:tcPr>
          <w:p w14:paraId="3B30F695">
            <w:pPr>
              <w:spacing w:line="260" w:lineRule="exact"/>
              <w:rPr>
                <w:rFonts w:ascii="华文中宋" w:hAnsi="华文中宋" w:eastAsia="华文中宋"/>
                <w:color w:val="000000"/>
                <w:sz w:val="28"/>
              </w:rPr>
            </w:pPr>
            <w:r>
              <w:rPr>
                <w:rFonts w:hint="eastAsia" w:ascii="宋体" w:hAnsi="宋体" w:eastAsia="宋体" w:cs="宋体"/>
                <w:b/>
                <w:bCs/>
                <w:color w:val="000000"/>
                <w:sz w:val="21"/>
                <w:szCs w:val="21"/>
              </w:rPr>
              <w:t>是</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8"/>
            <w:tcBorders>
              <w:tl2br w:val="nil"/>
              <w:tr2bl w:val="nil"/>
            </w:tcBorders>
            <w:vAlign w:val="center"/>
          </w:tcPr>
          <w:p w14:paraId="3A30DEB3">
            <w:pPr>
              <w:ind w:firstLine="400" w:firstLineChars="200"/>
              <w:rPr>
                <w:rFonts w:hint="eastAsia" w:ascii="宋体" w:hAnsi="宋体" w:eastAsia="宋体" w:cs="宋体"/>
                <w:b/>
                <w:bCs/>
                <w:color w:val="000000"/>
                <w:w w:val="95"/>
                <w:sz w:val="21"/>
                <w:szCs w:val="21"/>
              </w:rPr>
            </w:pPr>
            <w:r>
              <w:rPr>
                <w:rFonts w:hint="eastAsia" w:ascii="宋体" w:hAnsi="宋体" w:eastAsia="宋体" w:cs="宋体"/>
                <w:b/>
                <w:bCs/>
                <w:color w:val="000000"/>
                <w:w w:val="95"/>
                <w:sz w:val="21"/>
                <w:szCs w:val="21"/>
              </w:rPr>
              <w:t>全网首发，生动呈现习近平总书记在中央城市工作会议上“推动城市高质量更新高效能治理，优化城市功能结构和空间布局，提升资源和空间集约节约利用水平”讲话精神和习近平生态文明思想的实践成果，题材重大，示范性强，影响深远。</w:t>
            </w:r>
          </w:p>
          <w:p w14:paraId="4858428D">
            <w:pPr>
              <w:ind w:firstLine="400" w:firstLineChars="200"/>
              <w:rPr>
                <w:rFonts w:hint="eastAsia" w:ascii="宋体" w:hAnsi="宋体" w:eastAsia="宋体" w:cs="宋体"/>
                <w:b/>
                <w:bCs/>
                <w:color w:val="000000"/>
                <w:w w:val="95"/>
                <w:sz w:val="21"/>
                <w:szCs w:val="21"/>
              </w:rPr>
            </w:pPr>
            <w:r>
              <w:rPr>
                <w:rFonts w:hint="eastAsia" w:ascii="宋体" w:hAnsi="宋体" w:eastAsia="宋体" w:cs="宋体"/>
                <w:b/>
                <w:bCs/>
                <w:color w:val="000000"/>
                <w:w w:val="95"/>
                <w:sz w:val="21"/>
                <w:szCs w:val="21"/>
              </w:rPr>
              <w:t>作品生动形象以110米高垃圾山连根拔起、负资产被盘活为切入口，从不同维度，以文字、视频、三维动画、图片、可视化图表等技术与表达方式，全景呈现全国首创垃圾填埋场“全量开挖+焚烧发电+修复利用”综合治理模式，彰显新时代中国人民以硬核科技治理“垃圾围城”、探索城市更新治理新路径的创新精神，时代感强，引人思索。</w:t>
            </w:r>
          </w:p>
          <w:p w14:paraId="555E7928">
            <w:pPr>
              <w:ind w:firstLine="400" w:firstLineChars="200"/>
              <w:rPr>
                <w:rFonts w:hint="eastAsia" w:ascii="宋体" w:hAnsi="宋体" w:eastAsia="宋体" w:cs="宋体"/>
                <w:b/>
                <w:bCs/>
                <w:color w:val="000000"/>
                <w:w w:val="95"/>
                <w:sz w:val="21"/>
                <w:szCs w:val="21"/>
              </w:rPr>
            </w:pPr>
            <w:r>
              <w:rPr>
                <w:rFonts w:hint="eastAsia" w:ascii="宋体" w:hAnsi="宋体" w:eastAsia="宋体" w:cs="宋体"/>
                <w:b/>
                <w:bCs/>
                <w:color w:val="000000"/>
                <w:w w:val="95"/>
                <w:sz w:val="21"/>
                <w:szCs w:val="21"/>
              </w:rPr>
              <w:t>团队1个月13次采访施工、技术、管理人员及政府部门、专家、市民，挖掘背后故事与典型意义，实现“价值升维、共识凝聚、破圈传播”三重效应，产生强大传播力引导力影响力，发布后即成全国热点，100多家主流媒体转发。</w:t>
            </w:r>
          </w:p>
          <w:p w14:paraId="755233F1">
            <w:pPr>
              <w:ind w:firstLine="400" w:firstLineChars="200"/>
              <w:rPr>
                <w:rFonts w:ascii="仿宋" w:hAnsi="仿宋" w:eastAsia="仿宋"/>
                <w:color w:val="000000"/>
                <w:w w:val="95"/>
                <w:sz w:val="21"/>
                <w:szCs w:val="21"/>
              </w:rPr>
            </w:pPr>
            <w:r>
              <w:rPr>
                <w:rFonts w:hint="eastAsia" w:ascii="宋体" w:hAnsi="宋体" w:eastAsia="宋体" w:cs="宋体"/>
                <w:b/>
                <w:bCs/>
                <w:color w:val="000000"/>
                <w:w w:val="95"/>
                <w:sz w:val="21"/>
                <w:szCs w:val="21"/>
              </w:rPr>
              <w:t>全网传播量超1亿、互动量超百万、热心留言12.5万条。深圳晚报视频号单条播放量525万，读特客户端阅读量250万，公号推文10万+。作品强大的生命力，将“长尾效应”拉长至4个月，吸引人民日报、新华社、央视跟进采访，各平台持续传播，自媒体纷纷二创，形成“主流媒体定调、网络和自媒体扩散”的裂变传播格局。</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9" w:hRule="exact"/>
        </w:trPr>
        <w:tc>
          <w:tcPr>
            <w:tcW w:w="992" w:type="dxa"/>
            <w:vMerge w:val="restart"/>
            <w:tcBorders>
              <w:tl2br w:val="nil"/>
              <w:tr2bl w:val="nil"/>
            </w:tcBorders>
            <w:vAlign w:val="center"/>
          </w:tcPr>
          <w:p w14:paraId="7BFC70B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293" w:type="dxa"/>
            <w:gridSpan w:val="2"/>
            <w:tcBorders>
              <w:tl2br w:val="nil"/>
              <w:tr2bl w:val="nil"/>
            </w:tcBorders>
            <w:vAlign w:val="center"/>
          </w:tcPr>
          <w:p w14:paraId="0B93005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528" w:type="dxa"/>
            <w:gridSpan w:val="6"/>
            <w:tcBorders>
              <w:tl2br w:val="nil"/>
              <w:tr2bl w:val="nil"/>
            </w:tcBorders>
            <w:vAlign w:val="center"/>
          </w:tcPr>
          <w:p w14:paraId="5ECB1AF0">
            <w:pPr>
              <w:spacing w:line="240" w:lineRule="exact"/>
              <w:jc w:val="lef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t>代表作一：</w:t>
            </w:r>
          </w:p>
          <w:p w14:paraId="42B8D81D">
            <w:pPr>
              <w:spacing w:line="240" w:lineRule="exact"/>
              <w:jc w:val="lef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fldChar w:fldCharType="begin"/>
            </w:r>
            <w:r>
              <w:rPr>
                <w:rFonts w:hint="eastAsia" w:cs="仿宋" w:asciiTheme="minorEastAsia" w:hAnsiTheme="minorEastAsia" w:eastAsiaTheme="minorEastAsia"/>
                <w:b/>
                <w:bCs/>
                <w:color w:val="000000"/>
                <w:sz w:val="21"/>
                <w:szCs w:val="15"/>
                <w:lang w:val="en-US" w:eastAsia="zh-CN"/>
              </w:rPr>
              <w:instrText xml:space="preserve"> HYPERLINK "https://weixin.qq.com/sph/Aj63scJvC" </w:instrText>
            </w:r>
            <w:r>
              <w:rPr>
                <w:rFonts w:hint="eastAsia" w:cs="仿宋" w:asciiTheme="minorEastAsia" w:hAnsiTheme="minorEastAsia" w:eastAsiaTheme="minorEastAsia"/>
                <w:b/>
                <w:bCs/>
                <w:color w:val="000000"/>
                <w:sz w:val="21"/>
                <w:szCs w:val="15"/>
                <w:lang w:val="en-US" w:eastAsia="zh-CN"/>
              </w:rPr>
              <w:fldChar w:fldCharType="separate"/>
            </w:r>
            <w:r>
              <w:rPr>
                <w:rStyle w:val="7"/>
                <w:rFonts w:hint="eastAsia" w:cs="仿宋" w:asciiTheme="minorEastAsia" w:hAnsiTheme="minorEastAsia" w:eastAsiaTheme="minorEastAsia"/>
                <w:b/>
                <w:bCs/>
                <w:sz w:val="21"/>
                <w:szCs w:val="15"/>
                <w:lang w:val="en-US" w:eastAsia="zh-CN"/>
              </w:rPr>
              <w:t>https://weixin.qq.com/sph/Aj63scJvC</w:t>
            </w:r>
            <w:r>
              <w:rPr>
                <w:rFonts w:hint="eastAsia" w:cs="仿宋" w:asciiTheme="minorEastAsia" w:hAnsiTheme="minorEastAsia" w:eastAsiaTheme="minorEastAsia"/>
                <w:b/>
                <w:bCs/>
                <w:color w:val="000000"/>
                <w:sz w:val="21"/>
                <w:szCs w:val="15"/>
                <w:lang w:val="en-US" w:eastAsia="zh-CN"/>
              </w:rPr>
              <w:fldChar w:fldCharType="end"/>
            </w:r>
          </w:p>
          <w:p w14:paraId="261D4540">
            <w:pPr>
              <w:spacing w:line="240" w:lineRule="exact"/>
              <w:jc w:val="lef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t>代表作二：</w:t>
            </w:r>
          </w:p>
          <w:p w14:paraId="2E3C8560">
            <w:pPr>
              <w:spacing w:line="240" w:lineRule="exact"/>
              <w:jc w:val="lef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fldChar w:fldCharType="begin"/>
            </w:r>
            <w:r>
              <w:rPr>
                <w:rFonts w:hint="eastAsia" w:cs="仿宋" w:asciiTheme="minorEastAsia" w:hAnsiTheme="minorEastAsia" w:eastAsiaTheme="minorEastAsia"/>
                <w:b/>
                <w:bCs/>
                <w:color w:val="000000"/>
                <w:sz w:val="21"/>
                <w:szCs w:val="15"/>
                <w:lang w:val="en-US" w:eastAsia="zh-CN"/>
              </w:rPr>
              <w:instrText xml:space="preserve"> HYPERLINK "https://www.dutenews.com/n/article/10274648?from=app&amp;client=1" </w:instrText>
            </w:r>
            <w:r>
              <w:rPr>
                <w:rFonts w:hint="eastAsia" w:cs="仿宋" w:asciiTheme="minorEastAsia" w:hAnsiTheme="minorEastAsia" w:eastAsiaTheme="minorEastAsia"/>
                <w:b/>
                <w:bCs/>
                <w:color w:val="000000"/>
                <w:sz w:val="21"/>
                <w:szCs w:val="15"/>
                <w:lang w:val="en-US" w:eastAsia="zh-CN"/>
              </w:rPr>
              <w:fldChar w:fldCharType="separate"/>
            </w:r>
            <w:r>
              <w:rPr>
                <w:rStyle w:val="7"/>
                <w:rFonts w:hint="eastAsia" w:cs="仿宋" w:asciiTheme="minorEastAsia" w:hAnsiTheme="minorEastAsia" w:eastAsiaTheme="minorEastAsia"/>
                <w:b/>
                <w:bCs/>
                <w:sz w:val="21"/>
                <w:szCs w:val="15"/>
                <w:lang w:val="en-US" w:eastAsia="zh-CN"/>
              </w:rPr>
              <w:t>https://www.dutenews.com/n/article/10274648?from=app&amp;client=1</w:t>
            </w:r>
            <w:r>
              <w:rPr>
                <w:rFonts w:hint="eastAsia" w:cs="仿宋" w:asciiTheme="minorEastAsia" w:hAnsiTheme="minorEastAsia" w:eastAsiaTheme="minorEastAsia"/>
                <w:b/>
                <w:bCs/>
                <w:color w:val="000000"/>
                <w:sz w:val="21"/>
                <w:szCs w:val="15"/>
                <w:lang w:val="en-US" w:eastAsia="zh-CN"/>
              </w:rPr>
              <w:fldChar w:fldCharType="end"/>
            </w:r>
          </w:p>
          <w:p w14:paraId="04F0A68A">
            <w:pPr>
              <w:spacing w:line="280" w:lineRule="exact"/>
              <w:rPr>
                <w:rFonts w:hint="eastAsia" w:cs="仿宋" w:asciiTheme="minorEastAsia" w:hAnsiTheme="minorEastAsia" w:eastAsiaTheme="minorEastAsia"/>
                <w:b/>
                <w:bCs/>
                <w:color w:val="000000"/>
                <w:sz w:val="21"/>
                <w:szCs w:val="15"/>
                <w:lang w:val="en-US" w:eastAsia="zh-CN"/>
              </w:rPr>
            </w:pPr>
            <w:r>
              <w:rPr>
                <w:rFonts w:hint="eastAsia" w:cs="仿宋" w:asciiTheme="minorEastAsia" w:hAnsiTheme="minorEastAsia" w:eastAsiaTheme="minorEastAsia"/>
                <w:b/>
                <w:bCs/>
                <w:color w:val="000000"/>
                <w:sz w:val="21"/>
                <w:szCs w:val="15"/>
                <w:lang w:val="en-US" w:eastAsia="zh-CN"/>
              </w:rPr>
              <w:t>代表作三：</w:t>
            </w:r>
          </w:p>
          <w:p w14:paraId="34D7F506">
            <w:pPr>
              <w:spacing w:line="280" w:lineRule="exact"/>
              <w:rPr>
                <w:rFonts w:ascii="宋体" w:hAnsi="宋体" w:eastAsia="宋体" w:cs="宋体"/>
                <w:b/>
                <w:bCs/>
                <w:color w:val="000000"/>
                <w:spacing w:val="-6"/>
                <w:sz w:val="21"/>
                <w:szCs w:val="21"/>
                <w:lang w:bidi="ar"/>
              </w:rPr>
            </w:pPr>
            <w:r>
              <w:rPr>
                <w:rFonts w:hint="eastAsia" w:cs="仿宋" w:asciiTheme="minorEastAsia" w:hAnsiTheme="minorEastAsia" w:eastAsiaTheme="minorEastAsia"/>
                <w:b/>
                <w:bCs/>
                <w:color w:val="000000"/>
                <w:sz w:val="21"/>
                <w:szCs w:val="15"/>
                <w:lang w:val="en-US" w:eastAsia="zh-CN"/>
              </w:rPr>
              <w:fldChar w:fldCharType="begin"/>
            </w:r>
            <w:r>
              <w:rPr>
                <w:rFonts w:hint="eastAsia" w:cs="仿宋" w:asciiTheme="minorEastAsia" w:hAnsiTheme="minorEastAsia" w:eastAsiaTheme="minorEastAsia"/>
                <w:b/>
                <w:bCs/>
                <w:color w:val="000000"/>
                <w:sz w:val="21"/>
                <w:szCs w:val="15"/>
                <w:lang w:val="en-US" w:eastAsia="zh-CN"/>
              </w:rPr>
              <w:instrText xml:space="preserve"> HYPERLINK "https://www.dutenews.com/n/article/10290345?from=app&amp;client=1" </w:instrText>
            </w:r>
            <w:r>
              <w:rPr>
                <w:rFonts w:hint="eastAsia" w:cs="仿宋" w:asciiTheme="minorEastAsia" w:hAnsiTheme="minorEastAsia" w:eastAsiaTheme="minorEastAsia"/>
                <w:b/>
                <w:bCs/>
                <w:color w:val="000000"/>
                <w:sz w:val="21"/>
                <w:szCs w:val="15"/>
                <w:lang w:val="en-US" w:eastAsia="zh-CN"/>
              </w:rPr>
              <w:fldChar w:fldCharType="separate"/>
            </w:r>
            <w:r>
              <w:rPr>
                <w:rStyle w:val="7"/>
                <w:rFonts w:hint="eastAsia" w:cs="仿宋" w:asciiTheme="minorEastAsia" w:hAnsiTheme="minorEastAsia" w:eastAsiaTheme="minorEastAsia"/>
                <w:b/>
                <w:bCs/>
                <w:sz w:val="21"/>
                <w:szCs w:val="15"/>
                <w:lang w:val="en-US" w:eastAsia="zh-CN"/>
              </w:rPr>
              <w:t>https://www.dutenews.com/n/article/10290345?from=app&amp;client=1</w:t>
            </w:r>
            <w:r>
              <w:rPr>
                <w:rFonts w:hint="eastAsia" w:cs="仿宋" w:asciiTheme="minorEastAsia" w:hAnsiTheme="minorEastAsia" w:eastAsiaTheme="minorEastAsia"/>
                <w:b/>
                <w:bCs/>
                <w:color w:val="000000"/>
                <w:sz w:val="21"/>
                <w:szCs w:val="15"/>
                <w:lang w:val="en-US" w:eastAsia="zh-CN"/>
              </w:rPr>
              <w:fldChar w:fldCharType="end"/>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exact"/>
        </w:trPr>
        <w:tc>
          <w:tcPr>
            <w:tcW w:w="992" w:type="dxa"/>
            <w:vMerge w:val="continue"/>
            <w:tcBorders>
              <w:tl2br w:val="nil"/>
              <w:tr2bl w:val="nil"/>
            </w:tcBorders>
            <w:vAlign w:val="center"/>
          </w:tcPr>
          <w:p w14:paraId="40CAB92D">
            <w:pPr>
              <w:spacing w:line="320" w:lineRule="exact"/>
              <w:jc w:val="center"/>
              <w:rPr>
                <w:rFonts w:ascii="华文中宋" w:hAnsi="华文中宋" w:eastAsia="华文中宋"/>
                <w:color w:val="000000"/>
                <w:sz w:val="28"/>
              </w:rPr>
            </w:pPr>
          </w:p>
        </w:tc>
        <w:tc>
          <w:tcPr>
            <w:tcW w:w="1293" w:type="dxa"/>
            <w:gridSpan w:val="2"/>
            <w:tcBorders>
              <w:tl2br w:val="nil"/>
              <w:tr2bl w:val="nil"/>
            </w:tcBorders>
            <w:vAlign w:val="center"/>
          </w:tcPr>
          <w:p w14:paraId="359C1F0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2160" w:type="dxa"/>
            <w:tcBorders>
              <w:tl2br w:val="nil"/>
              <w:tr2bl w:val="nil"/>
            </w:tcBorders>
            <w:vAlign w:val="center"/>
          </w:tcPr>
          <w:p w14:paraId="769BF1DC">
            <w:pPr>
              <w:spacing w:line="240" w:lineRule="exact"/>
              <w:ind w:left="210" w:hanging="211" w:hangingChars="100"/>
              <w:rPr>
                <w:rFonts w:hint="default" w:ascii="仿宋" w:hAnsi="仿宋" w:eastAsia="宋体"/>
                <w:color w:val="000000"/>
                <w:sz w:val="21"/>
                <w:szCs w:val="21"/>
                <w:lang w:val="en-US" w:eastAsia="zh-CN"/>
              </w:rPr>
            </w:pPr>
            <w:r>
              <w:rPr>
                <w:rFonts w:hint="eastAsia" w:ascii="宋体" w:hAnsi="宋体" w:eastAsia="宋体" w:cs="宋体"/>
                <w:b/>
                <w:bCs/>
                <w:color w:val="000000"/>
                <w:sz w:val="21"/>
                <w:szCs w:val="21"/>
                <w:lang w:val="en-US" w:eastAsia="zh-CN"/>
              </w:rPr>
              <w:t xml:space="preserve"> 525.96万；250万；156万</w:t>
            </w:r>
          </w:p>
        </w:tc>
        <w:tc>
          <w:tcPr>
            <w:tcW w:w="902" w:type="dxa"/>
            <w:tcBorders>
              <w:tl2br w:val="nil"/>
              <w:tr2bl w:val="nil"/>
            </w:tcBorders>
            <w:vAlign w:val="center"/>
          </w:tcPr>
          <w:p w14:paraId="40B3F7F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274" w:type="dxa"/>
            <w:gridSpan w:val="2"/>
            <w:tcBorders>
              <w:tl2br w:val="nil"/>
              <w:tr2bl w:val="nil"/>
            </w:tcBorders>
            <w:vAlign w:val="center"/>
          </w:tcPr>
          <w:p w14:paraId="07C4DA4E">
            <w:pPr>
              <w:spacing w:line="240" w:lineRule="exact"/>
              <w:ind w:firstLine="211" w:firstLineChars="10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rPr>
              <w:t>10.</w:t>
            </w:r>
            <w:r>
              <w:rPr>
                <w:rFonts w:hint="eastAsia" w:ascii="宋体" w:hAnsi="宋体" w:eastAsia="宋体" w:cs="宋体"/>
                <w:b/>
                <w:bCs/>
                <w:color w:val="000000"/>
                <w:sz w:val="21"/>
                <w:szCs w:val="21"/>
                <w:lang w:val="en-US" w:eastAsia="zh-CN"/>
              </w:rPr>
              <w:t>33</w:t>
            </w:r>
            <w:r>
              <w:rPr>
                <w:rFonts w:hint="eastAsia" w:ascii="宋体" w:hAnsi="宋体" w:eastAsia="宋体" w:cs="宋体"/>
                <w:b/>
                <w:bCs/>
                <w:color w:val="000000"/>
                <w:sz w:val="21"/>
                <w:szCs w:val="21"/>
              </w:rPr>
              <w:t>万</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2.2万；</w:t>
            </w:r>
          </w:p>
          <w:p w14:paraId="5BE3E5F6">
            <w:pPr>
              <w:spacing w:line="240" w:lineRule="exact"/>
              <w:ind w:firstLine="211" w:firstLineChars="100"/>
              <w:rPr>
                <w:rFonts w:hint="default" w:ascii="仿宋" w:hAnsi="仿宋" w:eastAsia="宋体"/>
                <w:color w:val="000000"/>
                <w:sz w:val="21"/>
                <w:szCs w:val="21"/>
                <w:lang w:val="en-US" w:eastAsia="zh-CN"/>
              </w:rPr>
            </w:pPr>
            <w:r>
              <w:rPr>
                <w:rFonts w:hint="eastAsia" w:ascii="宋体" w:hAnsi="宋体" w:eastAsia="宋体" w:cs="宋体"/>
                <w:b/>
                <w:bCs/>
                <w:color w:val="000000"/>
                <w:sz w:val="21"/>
                <w:szCs w:val="21"/>
                <w:lang w:val="en-US" w:eastAsia="zh-CN"/>
              </w:rPr>
              <w:t xml:space="preserve">1.1万    </w:t>
            </w:r>
          </w:p>
        </w:tc>
        <w:tc>
          <w:tcPr>
            <w:tcW w:w="1076" w:type="dxa"/>
            <w:tcBorders>
              <w:tl2br w:val="nil"/>
              <w:tr2bl w:val="nil"/>
            </w:tcBorders>
            <w:vAlign w:val="center"/>
          </w:tcPr>
          <w:p w14:paraId="50FA0102">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116" w:type="dxa"/>
            <w:tcBorders>
              <w:tl2br w:val="nil"/>
              <w:tr2bl w:val="nil"/>
            </w:tcBorders>
            <w:vAlign w:val="center"/>
          </w:tcPr>
          <w:p w14:paraId="03DD5D6F">
            <w:pPr>
              <w:spacing w:line="240" w:lineRule="exact"/>
              <w:rPr>
                <w:rFonts w:ascii="仿宋" w:hAnsi="仿宋" w:eastAsia="仿宋"/>
                <w:color w:val="000000"/>
                <w:sz w:val="21"/>
                <w:szCs w:val="21"/>
              </w:rPr>
            </w:pPr>
            <w:r>
              <w:rPr>
                <w:rFonts w:hint="eastAsia" w:ascii="宋体" w:hAnsi="宋体" w:eastAsia="宋体" w:cs="宋体"/>
                <w:b/>
                <w:bCs/>
                <w:color w:val="000000"/>
                <w:sz w:val="21"/>
                <w:szCs w:val="21"/>
              </w:rPr>
              <w:t>13000万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9" w:hRule="exact"/>
        </w:trPr>
        <w:tc>
          <w:tcPr>
            <w:tcW w:w="992" w:type="dxa"/>
            <w:tcBorders>
              <w:tl2br w:val="nil"/>
              <w:tr2bl w:val="nil"/>
            </w:tcBorders>
            <w:vAlign w:val="center"/>
          </w:tcPr>
          <w:p w14:paraId="7C530D9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8"/>
            <w:tcBorders>
              <w:tl2br w:val="nil"/>
              <w:tr2bl w:val="nil"/>
            </w:tcBorders>
            <w:vAlign w:val="center"/>
          </w:tcPr>
          <w:p w14:paraId="727A984B">
            <w:pPr>
              <w:ind w:firstLine="422" w:firstLineChars="200"/>
              <w:rPr>
                <w:rFonts w:ascii="宋体" w:hAnsi="宋体" w:eastAsia="宋体" w:cs="宋体"/>
                <w:b/>
                <w:bCs/>
                <w:color w:val="000000"/>
                <w:sz w:val="21"/>
                <w:szCs w:val="21"/>
                <w:lang w:bidi="ar"/>
              </w:rPr>
            </w:pPr>
            <w:r>
              <w:rPr>
                <w:rFonts w:hint="eastAsia" w:ascii="宋体" w:hAnsi="宋体" w:eastAsia="宋体" w:cs="宋体"/>
                <w:b/>
                <w:bCs/>
                <w:color w:val="000000"/>
                <w:sz w:val="21"/>
                <w:szCs w:val="21"/>
                <w:lang w:bidi="ar"/>
              </w:rPr>
              <w:t>作品以通俗生动的文字、多维度叙事方式、制作考究的新技术与多媒体产品形态，全面具象地呈现深圳贯彻落实习近平总书记在中央城市工作会议上的讲话精神及习近平生态文明思想的实践成果，主题突出，示范性强，影响广泛深远。</w:t>
            </w:r>
          </w:p>
          <w:p w14:paraId="7E5F71A6">
            <w:pPr>
              <w:ind w:firstLine="422" w:firstLineChars="200"/>
              <w:rPr>
                <w:rFonts w:ascii="宋体" w:hAnsi="宋体" w:eastAsia="宋体" w:cs="宋体"/>
                <w:b/>
                <w:bCs/>
                <w:color w:val="000000"/>
                <w:sz w:val="21"/>
                <w:szCs w:val="21"/>
                <w:lang w:bidi="ar"/>
              </w:rPr>
            </w:pPr>
            <w:r>
              <w:rPr>
                <w:rFonts w:hint="eastAsia" w:ascii="宋体" w:hAnsi="宋体" w:eastAsia="宋体" w:cs="宋体"/>
                <w:b/>
                <w:bCs/>
                <w:color w:val="000000"/>
                <w:sz w:val="21"/>
                <w:szCs w:val="21"/>
                <w:lang w:bidi="ar"/>
              </w:rPr>
              <w:t>作品通过“政策锚点-地方实践-全国示范”逻辑链，将地方事务上升为国家战略叙事，揭示了深圳作为先行示范区在生态治理与城市更新领域的探路价值，赢得广泛关注，形成了跨地域、多层级、立体化传播格局。</w:t>
            </w:r>
          </w:p>
          <w:p w14:paraId="543C5FBB">
            <w:pPr>
              <w:ind w:firstLine="422" w:firstLineChars="200"/>
              <w:rPr>
                <w:rFonts w:ascii="宋体" w:hAnsi="宋体" w:eastAsia="宋体" w:cs="宋体"/>
                <w:b/>
                <w:bCs/>
                <w:color w:val="000000"/>
                <w:sz w:val="21"/>
                <w:szCs w:val="21"/>
                <w:lang w:bidi="ar"/>
              </w:rPr>
            </w:pPr>
            <w:r>
              <w:rPr>
                <w:rFonts w:hint="eastAsia" w:ascii="宋体" w:hAnsi="宋体" w:eastAsia="宋体" w:cs="宋体"/>
                <w:b/>
                <w:bCs/>
                <w:color w:val="000000"/>
                <w:sz w:val="21"/>
                <w:szCs w:val="21"/>
                <w:lang w:bidi="ar"/>
              </w:rPr>
              <w:t>作品传播效果好、生命力强。100多家主流媒体转发或跟进，大量网络平台和自媒体转发转播，全网传播量1亿+，多次上全国及地方热搜，“长尾效应”超过130天，成功打造出强大的正能量舆论场和现象级传播精品。</w:t>
            </w:r>
          </w:p>
          <w:p w14:paraId="04FC0211">
            <w:pPr>
              <w:rPr>
                <w:rFonts w:ascii="仿宋" w:hAnsi="仿宋" w:eastAsia="仿宋" w:cs="仿宋"/>
                <w:color w:val="000000"/>
                <w:sz w:val="21"/>
                <w:szCs w:val="21"/>
                <w:lang w:bidi="ar"/>
              </w:rPr>
            </w:pPr>
          </w:p>
          <w:p w14:paraId="0F824EA8">
            <w:pPr>
              <w:ind w:firstLine="420" w:firstLineChars="200"/>
              <w:rPr>
                <w:rFonts w:ascii="仿宋" w:hAnsi="仿宋" w:eastAsia="仿宋" w:cs="仿宋"/>
                <w:color w:val="000000"/>
                <w:sz w:val="21"/>
                <w:szCs w:val="21"/>
              </w:rPr>
            </w:pPr>
          </w:p>
          <w:p w14:paraId="31875D0E">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3109BF00">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30942D31"/>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2EB"/>
    <w:rsid w:val="00325DF7"/>
    <w:rsid w:val="00331F6F"/>
    <w:rsid w:val="00334258"/>
    <w:rsid w:val="005E0002"/>
    <w:rsid w:val="008F6314"/>
    <w:rsid w:val="009C52EB"/>
    <w:rsid w:val="009E7E45"/>
    <w:rsid w:val="00A1206C"/>
    <w:rsid w:val="00BB1352"/>
    <w:rsid w:val="00D64829"/>
    <w:rsid w:val="00EC2B66"/>
    <w:rsid w:val="00F5055D"/>
    <w:rsid w:val="103E4A53"/>
    <w:rsid w:val="291819B2"/>
    <w:rsid w:val="33363900"/>
    <w:rsid w:val="37FFED9E"/>
    <w:rsid w:val="38FB0807"/>
    <w:rsid w:val="3CFF4FE4"/>
    <w:rsid w:val="3F8F7A7E"/>
    <w:rsid w:val="4CA94913"/>
    <w:rsid w:val="57FED6BA"/>
    <w:rsid w:val="5D250E1A"/>
    <w:rsid w:val="5EFF5181"/>
    <w:rsid w:val="70CD2B43"/>
    <w:rsid w:val="73F26870"/>
    <w:rsid w:val="777FD520"/>
    <w:rsid w:val="7BDFF038"/>
    <w:rsid w:val="7DBDCAA1"/>
    <w:rsid w:val="7DFFD127"/>
    <w:rsid w:val="B6FB2BE0"/>
    <w:rsid w:val="BFF715A3"/>
    <w:rsid w:val="CDF6575C"/>
    <w:rsid w:val="D5977622"/>
    <w:rsid w:val="E7FBBE08"/>
    <w:rsid w:val="F3BE852A"/>
    <w:rsid w:val="F47F9EA7"/>
    <w:rsid w:val="FE5B3CA9"/>
    <w:rsid w:val="FEEEAD7B"/>
    <w:rsid w:val="FFEDF0BC"/>
    <w:rsid w:val="FFFD68EE"/>
    <w:rsid w:val="FFFF0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paragraph" w:customStyle="1" w:styleId="8">
    <w:name w:val="表格内文"/>
    <w:basedOn w:val="1"/>
    <w:qFormat/>
    <w:uiPriority w:val="0"/>
    <w:pPr>
      <w:spacing w:line="360" w:lineRule="exact"/>
      <w:jc w:val="center"/>
    </w:pPr>
    <w:rPr>
      <w:rFonts w:hint="eastAsia" w:eastAsiaTheme="minorEastAsia" w:cstheme="minorEastAsia"/>
      <w:b/>
      <w:bCs/>
      <w:color w:val="000000"/>
      <w:szCs w:val="21"/>
    </w:rPr>
  </w:style>
  <w:style w:type="character" w:customStyle="1" w:styleId="9">
    <w:name w:val="页脚 字符"/>
    <w:basedOn w:val="6"/>
    <w:link w:val="3"/>
    <w:qFormat/>
    <w:uiPriority w:val="0"/>
    <w:rPr>
      <w:rFonts w:eastAsia="方正仿宋_GB2312"/>
      <w:kern w:val="2"/>
      <w:sz w:val="18"/>
      <w:szCs w:val="18"/>
    </w:rPr>
  </w:style>
  <w:style w:type="character" w:customStyle="1" w:styleId="10">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264</Words>
  <Characters>1509</Characters>
  <Lines>12</Lines>
  <Paragraphs>3</Paragraphs>
  <TotalTime>0</TotalTime>
  <ScaleCrop>false</ScaleCrop>
  <LinksUpToDate>false</LinksUpToDate>
  <CharactersWithSpaces>1770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2026-04-12T22:18:00Z</dcterms:created>
  <dc:creator>EDY</dc:creator>
  <cp:lastModifiedBy>user</cp:lastModifiedBy>
  <dcterms:modified xsi:type="dcterms:W3CDTF">2026-05-11T15:26:56Z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54772ADBC30E14F8518FF56957C28E52_43</vt:lpwstr>
  </property>
</Properties>
</file>